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C8" w:rsidRPr="00AA00D5" w:rsidRDefault="00B740C8" w:rsidP="00AA00D5">
      <w:pPr>
        <w:spacing w:line="276" w:lineRule="auto"/>
        <w:jc w:val="right"/>
        <w:rPr>
          <w:rFonts w:ascii="Arial" w:hAnsi="Arial" w:cs="Arial"/>
          <w:b/>
          <w:sz w:val="24"/>
          <w:szCs w:val="24"/>
          <w:lang w:eastAsia="es-GT"/>
        </w:rPr>
      </w:pPr>
      <w:r w:rsidRPr="00AA00D5">
        <w:rPr>
          <w:rFonts w:ascii="Arial" w:hAnsi="Arial" w:cs="Arial"/>
          <w:b/>
          <w:sz w:val="24"/>
          <w:szCs w:val="24"/>
          <w:lang w:eastAsia="es-GT"/>
        </w:rPr>
        <w:t xml:space="preserve">Nota de prensa </w:t>
      </w:r>
      <w:r w:rsidR="00AA00D5" w:rsidRPr="00AA00D5">
        <w:rPr>
          <w:rFonts w:ascii="Arial" w:hAnsi="Arial" w:cs="Arial"/>
          <w:b/>
          <w:sz w:val="24"/>
          <w:szCs w:val="24"/>
          <w:lang w:eastAsia="es-GT"/>
        </w:rPr>
        <w:t>–</w:t>
      </w:r>
      <w:r w:rsidR="00AA00D5">
        <w:rPr>
          <w:rFonts w:ascii="Arial" w:hAnsi="Arial" w:cs="Arial"/>
          <w:b/>
          <w:sz w:val="24"/>
          <w:szCs w:val="24"/>
          <w:lang w:eastAsia="es-GT"/>
        </w:rPr>
        <w:t xml:space="preserve"> SCEP </w:t>
      </w:r>
      <w:r w:rsidR="00AA00D5" w:rsidRPr="00AA00D5">
        <w:rPr>
          <w:rFonts w:ascii="Arial" w:hAnsi="Arial" w:cs="Arial"/>
          <w:b/>
          <w:sz w:val="24"/>
          <w:szCs w:val="24"/>
          <w:lang w:eastAsia="es-GT"/>
        </w:rPr>
        <w:t>–</w:t>
      </w:r>
      <w:r w:rsidR="00AA00D5">
        <w:rPr>
          <w:rFonts w:ascii="Arial" w:hAnsi="Arial" w:cs="Arial"/>
          <w:b/>
          <w:sz w:val="24"/>
          <w:szCs w:val="24"/>
          <w:lang w:eastAsia="es-GT"/>
        </w:rPr>
        <w:t xml:space="preserve"> 79 </w:t>
      </w:r>
      <w:r w:rsidR="00AA00D5" w:rsidRPr="00AA00D5">
        <w:rPr>
          <w:rFonts w:ascii="Arial" w:hAnsi="Arial" w:cs="Arial"/>
          <w:b/>
          <w:sz w:val="24"/>
          <w:szCs w:val="24"/>
          <w:lang w:eastAsia="es-GT"/>
        </w:rPr>
        <w:t>–</w:t>
      </w:r>
      <w:r w:rsidR="00AA00D5">
        <w:rPr>
          <w:rFonts w:ascii="Arial" w:hAnsi="Arial" w:cs="Arial"/>
          <w:b/>
          <w:sz w:val="24"/>
          <w:szCs w:val="24"/>
          <w:lang w:eastAsia="es-GT"/>
        </w:rPr>
        <w:t xml:space="preserve"> 2026</w:t>
      </w:r>
    </w:p>
    <w:p w:rsidR="00B740C8" w:rsidRPr="00AA00D5" w:rsidRDefault="00573531" w:rsidP="00AA00D5">
      <w:pPr>
        <w:spacing w:line="276" w:lineRule="auto"/>
        <w:jc w:val="center"/>
        <w:rPr>
          <w:rFonts w:ascii="Arial" w:hAnsi="Arial" w:cs="Arial"/>
          <w:b/>
          <w:sz w:val="24"/>
          <w:szCs w:val="24"/>
          <w:lang w:eastAsia="es-GT"/>
        </w:rPr>
      </w:pPr>
      <w:r>
        <w:rPr>
          <w:rFonts w:ascii="Arial" w:hAnsi="Arial" w:cs="Arial"/>
          <w:b/>
          <w:sz w:val="24"/>
          <w:szCs w:val="24"/>
          <w:lang w:eastAsia="es-GT"/>
        </w:rPr>
        <w:t>SCEP inicia campaña informativa «</w:t>
      </w:r>
      <w:r w:rsidRPr="00573531">
        <w:rPr>
          <w:rFonts w:ascii="Arial" w:hAnsi="Arial" w:cs="Arial"/>
          <w:b/>
          <w:sz w:val="24"/>
          <w:szCs w:val="24"/>
          <w:lang w:eastAsia="es-GT"/>
        </w:rPr>
        <w:t xml:space="preserve">La </w:t>
      </w:r>
      <w:r>
        <w:rPr>
          <w:rFonts w:ascii="Arial" w:hAnsi="Arial" w:cs="Arial"/>
          <w:b/>
          <w:sz w:val="24"/>
          <w:szCs w:val="24"/>
          <w:lang w:eastAsia="es-GT"/>
        </w:rPr>
        <w:t>c</w:t>
      </w:r>
      <w:r w:rsidRPr="00573531">
        <w:rPr>
          <w:rFonts w:ascii="Arial" w:hAnsi="Arial" w:cs="Arial"/>
          <w:b/>
          <w:sz w:val="24"/>
          <w:szCs w:val="24"/>
          <w:lang w:eastAsia="es-GT"/>
        </w:rPr>
        <w:t>omunidad al mando</w:t>
      </w:r>
      <w:r>
        <w:rPr>
          <w:rFonts w:ascii="Arial" w:hAnsi="Arial" w:cs="Arial"/>
          <w:b/>
          <w:sz w:val="24"/>
          <w:szCs w:val="24"/>
          <w:lang w:eastAsia="es-GT"/>
        </w:rPr>
        <w:t>»</w:t>
      </w:r>
    </w:p>
    <w:p w:rsidR="00B740C8" w:rsidRPr="00AA00D5" w:rsidRDefault="00B740C8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bookmarkStart w:id="0" w:name="_GoBack"/>
      <w:r w:rsidRPr="00AA00D5">
        <w:rPr>
          <w:rFonts w:ascii="Arial" w:hAnsi="Arial" w:cs="Arial"/>
          <w:sz w:val="24"/>
          <w:szCs w:val="24"/>
          <w:lang w:eastAsia="es-GT"/>
        </w:rPr>
        <w:t xml:space="preserve">Guatemala, 7 de septiembre de 2026. La Secretaría de Coordinación Ejecutiva de la Presidencia (SCEP) presentó este lunes </w:t>
      </w:r>
      <w:r w:rsidR="00DD557B">
        <w:rPr>
          <w:rFonts w:ascii="Arial" w:hAnsi="Arial" w:cs="Arial"/>
          <w:sz w:val="24"/>
          <w:szCs w:val="24"/>
          <w:lang w:eastAsia="es-GT"/>
        </w:rPr>
        <w:t>la campaña comunicacional «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La </w:t>
      </w:r>
      <w:r w:rsidR="00573531">
        <w:rPr>
          <w:rFonts w:ascii="Arial" w:hAnsi="Arial" w:cs="Arial"/>
          <w:sz w:val="24"/>
          <w:szCs w:val="24"/>
          <w:lang w:eastAsia="es-GT"/>
        </w:rPr>
        <w:t>c</w:t>
      </w:r>
      <w:r w:rsidRPr="00AA00D5">
        <w:rPr>
          <w:rFonts w:ascii="Arial" w:hAnsi="Arial" w:cs="Arial"/>
          <w:sz w:val="24"/>
          <w:szCs w:val="24"/>
          <w:lang w:eastAsia="es-GT"/>
        </w:rPr>
        <w:t>omunidad al mando</w:t>
      </w:r>
      <w:r w:rsidR="00DD557B">
        <w:rPr>
          <w:rFonts w:ascii="Arial" w:hAnsi="Arial" w:cs="Arial"/>
          <w:sz w:val="24"/>
          <w:szCs w:val="24"/>
          <w:lang w:eastAsia="es-GT"/>
        </w:rPr>
        <w:t>»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, </w:t>
      </w:r>
      <w:r w:rsidR="00DD557B">
        <w:rPr>
          <w:rFonts w:ascii="Arial" w:hAnsi="Arial" w:cs="Arial"/>
          <w:sz w:val="24"/>
          <w:szCs w:val="24"/>
          <w:lang w:eastAsia="es-GT"/>
        </w:rPr>
        <w:t>dirigida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</w:t>
      </w:r>
      <w:r w:rsidR="00573531">
        <w:rPr>
          <w:rFonts w:ascii="Arial" w:hAnsi="Arial" w:cs="Arial"/>
          <w:sz w:val="24"/>
          <w:szCs w:val="24"/>
          <w:lang w:eastAsia="es-GT"/>
        </w:rPr>
        <w:t xml:space="preserve">a </w:t>
      </w:r>
      <w:r w:rsidR="00DD557B">
        <w:rPr>
          <w:rFonts w:ascii="Arial" w:hAnsi="Arial" w:cs="Arial"/>
          <w:sz w:val="24"/>
          <w:szCs w:val="24"/>
          <w:lang w:eastAsia="es-GT"/>
        </w:rPr>
        <w:t>estimular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la participación ciudadana, la auditoría social y la transparencia en el uso de los recursos públicos destinados </w:t>
      </w:r>
      <w:r w:rsidR="00DD557B">
        <w:rPr>
          <w:rFonts w:ascii="Arial" w:hAnsi="Arial" w:cs="Arial"/>
          <w:sz w:val="24"/>
          <w:szCs w:val="24"/>
          <w:lang w:eastAsia="es-GT"/>
        </w:rPr>
        <w:t>a financiar proyectos a cargo del Sistema de Consejos de Desarrollo (Siscode)</w:t>
      </w:r>
      <w:r w:rsidRPr="00AA00D5">
        <w:rPr>
          <w:rFonts w:ascii="Arial" w:hAnsi="Arial" w:cs="Arial"/>
          <w:sz w:val="24"/>
          <w:szCs w:val="24"/>
          <w:lang w:eastAsia="es-GT"/>
        </w:rPr>
        <w:t>.</w:t>
      </w:r>
    </w:p>
    <w:p w:rsidR="00DD557B" w:rsidRDefault="00F30603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 xml:space="preserve">La iniciativa </w:t>
      </w:r>
      <w:r w:rsidR="00DD557B">
        <w:rPr>
          <w:rFonts w:ascii="Arial" w:hAnsi="Arial" w:cs="Arial"/>
          <w:sz w:val="24"/>
          <w:szCs w:val="24"/>
          <w:lang w:eastAsia="es-GT"/>
        </w:rPr>
        <w:t xml:space="preserve">retoma el eslogan creado por la SCEP desde el inicio de esta administración: ¡Transfiriendo poder a la Gente!, enfatizando el papel clave que tiene la población, desde los Consejos Comunitarios de Desarrollo (Cocode) para identificar sus necesidades, priorizar los proyectos a desarrollar y hacer auditoría ciudadana del adecuado uso de los recursos destinados a la </w:t>
      </w:r>
      <w:r w:rsidR="00DD557B" w:rsidRPr="00AA00D5">
        <w:rPr>
          <w:rFonts w:ascii="Arial" w:hAnsi="Arial" w:cs="Arial"/>
          <w:sz w:val="24"/>
          <w:szCs w:val="24"/>
          <w:lang w:eastAsia="es-GT"/>
        </w:rPr>
        <w:t>inversión territorial</w:t>
      </w:r>
      <w:r w:rsidR="00DD557B">
        <w:rPr>
          <w:rFonts w:ascii="Arial" w:hAnsi="Arial" w:cs="Arial"/>
          <w:sz w:val="24"/>
          <w:szCs w:val="24"/>
          <w:lang w:eastAsia="es-GT"/>
        </w:rPr>
        <w:t>.</w:t>
      </w:r>
    </w:p>
    <w:p w:rsidR="00DD557B" w:rsidRDefault="00DD557B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>
        <w:rPr>
          <w:rFonts w:ascii="Arial" w:hAnsi="Arial" w:cs="Arial"/>
          <w:sz w:val="24"/>
          <w:szCs w:val="24"/>
          <w:lang w:eastAsia="es-GT"/>
        </w:rPr>
        <w:t>El lanzamiento de la campaña de información fue realizad</w:t>
      </w:r>
      <w:r w:rsidR="00F24F83">
        <w:rPr>
          <w:rFonts w:ascii="Arial" w:hAnsi="Arial" w:cs="Arial"/>
          <w:sz w:val="24"/>
          <w:szCs w:val="24"/>
          <w:lang w:eastAsia="es-GT"/>
        </w:rPr>
        <w:t>o</w:t>
      </w:r>
      <w:r>
        <w:rPr>
          <w:rFonts w:ascii="Arial" w:hAnsi="Arial" w:cs="Arial"/>
          <w:sz w:val="24"/>
          <w:szCs w:val="24"/>
          <w:lang w:eastAsia="es-GT"/>
        </w:rPr>
        <w:t xml:space="preserve"> por 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el secretario de Coordinación Ejecutiva, Víctor Hugo Godoy, durante su participación en </w:t>
      </w:r>
      <w:r w:rsidR="00F24F83">
        <w:rPr>
          <w:rFonts w:ascii="Arial" w:hAnsi="Arial" w:cs="Arial"/>
          <w:sz w:val="24"/>
          <w:szCs w:val="24"/>
          <w:lang w:eastAsia="es-GT"/>
        </w:rPr>
        <w:t xml:space="preserve">la conferencia de prensa semanal </w:t>
      </w:r>
      <w:r w:rsidRPr="00AA00D5">
        <w:rPr>
          <w:rFonts w:ascii="Arial" w:hAnsi="Arial" w:cs="Arial"/>
          <w:iCs/>
          <w:sz w:val="24"/>
          <w:szCs w:val="24"/>
          <w:lang w:eastAsia="es-GT"/>
        </w:rPr>
        <w:t>La Ronda</w:t>
      </w:r>
      <w:r w:rsidRPr="00AA00D5">
        <w:rPr>
          <w:rFonts w:ascii="Arial" w:hAnsi="Arial" w:cs="Arial"/>
          <w:sz w:val="24"/>
          <w:szCs w:val="24"/>
          <w:lang w:eastAsia="es-GT"/>
        </w:rPr>
        <w:t>,</w:t>
      </w:r>
      <w:r w:rsidR="00F24F83">
        <w:rPr>
          <w:rFonts w:ascii="Arial" w:hAnsi="Arial" w:cs="Arial"/>
          <w:sz w:val="24"/>
          <w:szCs w:val="24"/>
          <w:lang w:eastAsia="es-GT"/>
        </w:rPr>
        <w:t xml:space="preserve"> en cuyo marco recordó que durante el actual ejercicio fiscal hay una asignación </w:t>
      </w:r>
      <w:r w:rsidR="00F24F83" w:rsidRPr="00AA00D5">
        <w:rPr>
          <w:rFonts w:ascii="Arial" w:hAnsi="Arial" w:cs="Arial"/>
          <w:sz w:val="24"/>
          <w:szCs w:val="24"/>
          <w:lang w:eastAsia="es-GT"/>
        </w:rPr>
        <w:t>Q15 mil millones</w:t>
      </w:r>
      <w:r w:rsidR="00F24F83">
        <w:rPr>
          <w:rFonts w:ascii="Arial" w:hAnsi="Arial" w:cs="Arial"/>
          <w:sz w:val="24"/>
          <w:szCs w:val="24"/>
          <w:lang w:eastAsia="es-GT"/>
        </w:rPr>
        <w:t xml:space="preserve"> que deben invertirse en </w:t>
      </w:r>
      <w:r w:rsidR="00F24F83" w:rsidRPr="00AA00D5">
        <w:rPr>
          <w:rFonts w:ascii="Arial" w:hAnsi="Arial" w:cs="Arial"/>
          <w:sz w:val="24"/>
          <w:szCs w:val="24"/>
          <w:lang w:eastAsia="es-GT"/>
        </w:rPr>
        <w:t xml:space="preserve">7 mil 837 proyectos en los 22 departamentos del país, con un impacto directo estimado en más de </w:t>
      </w:r>
      <w:r w:rsidR="00F24F83">
        <w:rPr>
          <w:rFonts w:ascii="Arial" w:hAnsi="Arial" w:cs="Arial"/>
          <w:sz w:val="24"/>
          <w:szCs w:val="24"/>
          <w:lang w:eastAsia="es-GT"/>
        </w:rPr>
        <w:t>tres</w:t>
      </w:r>
      <w:r w:rsidR="00F24F83" w:rsidRPr="00AA00D5">
        <w:rPr>
          <w:rFonts w:ascii="Arial" w:hAnsi="Arial" w:cs="Arial"/>
          <w:sz w:val="24"/>
          <w:szCs w:val="24"/>
          <w:lang w:eastAsia="es-GT"/>
        </w:rPr>
        <w:t xml:space="preserve"> millones de </w:t>
      </w:r>
      <w:r w:rsidR="00F24F83">
        <w:rPr>
          <w:rFonts w:ascii="Arial" w:hAnsi="Arial" w:cs="Arial"/>
          <w:sz w:val="24"/>
          <w:szCs w:val="24"/>
          <w:lang w:eastAsia="es-GT"/>
        </w:rPr>
        <w:t>personas.</w:t>
      </w:r>
    </w:p>
    <w:p w:rsidR="00B740C8" w:rsidRPr="00AA00D5" w:rsidRDefault="00F24F83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 xml:space="preserve"> </w:t>
      </w:r>
      <w:r>
        <w:rPr>
          <w:rFonts w:ascii="Arial" w:hAnsi="Arial" w:cs="Arial"/>
          <w:sz w:val="24"/>
          <w:szCs w:val="24"/>
          <w:lang w:eastAsia="es-GT"/>
        </w:rPr>
        <w:t>«</w:t>
      </w:r>
      <w:r w:rsidR="00B740C8" w:rsidRPr="00AA00D5">
        <w:rPr>
          <w:rFonts w:ascii="Arial" w:hAnsi="Arial" w:cs="Arial"/>
          <w:sz w:val="24"/>
          <w:szCs w:val="24"/>
          <w:lang w:eastAsia="es-GT"/>
        </w:rPr>
        <w:t>Una obra no comienza con la primera piedra, empieza cuando la co</w:t>
      </w:r>
      <w:r>
        <w:rPr>
          <w:rFonts w:ascii="Arial" w:hAnsi="Arial" w:cs="Arial"/>
          <w:sz w:val="24"/>
          <w:szCs w:val="24"/>
          <w:lang w:eastAsia="es-GT"/>
        </w:rPr>
        <w:t>munidad la prioriza y la vigila»</w:t>
      </w:r>
      <w:r w:rsidR="00B740C8" w:rsidRPr="00AA00D5">
        <w:rPr>
          <w:rFonts w:ascii="Arial" w:hAnsi="Arial" w:cs="Arial"/>
          <w:sz w:val="24"/>
          <w:szCs w:val="24"/>
          <w:lang w:eastAsia="es-GT"/>
        </w:rPr>
        <w:t xml:space="preserve">, afirmó </w:t>
      </w:r>
      <w:r>
        <w:rPr>
          <w:rFonts w:ascii="Arial" w:hAnsi="Arial" w:cs="Arial"/>
          <w:sz w:val="24"/>
          <w:szCs w:val="24"/>
          <w:lang w:eastAsia="es-GT"/>
        </w:rPr>
        <w:t xml:space="preserve">Godoy </w:t>
      </w:r>
      <w:r w:rsidR="00B740C8" w:rsidRPr="00AA00D5">
        <w:rPr>
          <w:rFonts w:ascii="Arial" w:hAnsi="Arial" w:cs="Arial"/>
          <w:sz w:val="24"/>
          <w:szCs w:val="24"/>
          <w:lang w:eastAsia="es-GT"/>
        </w:rPr>
        <w:t xml:space="preserve">al explicar </w:t>
      </w:r>
      <w:r>
        <w:rPr>
          <w:rFonts w:ascii="Arial" w:hAnsi="Arial" w:cs="Arial"/>
          <w:sz w:val="24"/>
          <w:szCs w:val="24"/>
          <w:lang w:eastAsia="es-GT"/>
        </w:rPr>
        <w:t>que, como parte de la campaña informativa, se realizarán visita</w:t>
      </w:r>
      <w:r w:rsidR="0096556A">
        <w:rPr>
          <w:rFonts w:ascii="Arial" w:hAnsi="Arial" w:cs="Arial"/>
          <w:sz w:val="24"/>
          <w:szCs w:val="24"/>
          <w:lang w:eastAsia="es-GT"/>
        </w:rPr>
        <w:t>s</w:t>
      </w:r>
      <w:r>
        <w:rPr>
          <w:rFonts w:ascii="Arial" w:hAnsi="Arial" w:cs="Arial"/>
          <w:sz w:val="24"/>
          <w:szCs w:val="24"/>
          <w:lang w:eastAsia="es-GT"/>
        </w:rPr>
        <w:t xml:space="preserve"> del presidente Bernardo Arévalo a proyectos de alto impacto comunitario</w:t>
      </w:r>
      <w:r w:rsidR="0096556A">
        <w:rPr>
          <w:rFonts w:ascii="Arial" w:hAnsi="Arial" w:cs="Arial"/>
          <w:sz w:val="24"/>
          <w:szCs w:val="24"/>
          <w:lang w:eastAsia="es-GT"/>
        </w:rPr>
        <w:t>, realizados bajo la responsabilidad de los Consejos Departamentales de Desarrollo (Codede)</w:t>
      </w:r>
      <w:r w:rsidR="00B740C8" w:rsidRPr="00AA00D5">
        <w:rPr>
          <w:rFonts w:ascii="Arial" w:hAnsi="Arial" w:cs="Arial"/>
          <w:sz w:val="24"/>
          <w:szCs w:val="24"/>
          <w:lang w:eastAsia="es-GT"/>
        </w:rPr>
        <w:t>.</w:t>
      </w:r>
    </w:p>
    <w:p w:rsidR="00B740C8" w:rsidRPr="00AA00D5" w:rsidRDefault="00B740C8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>Los proyectos corresponden a áreas como agua potable, saneamiento, salud, educación e infraestructura vial, y forman parte de proceso</w:t>
      </w:r>
      <w:r w:rsidR="0096556A">
        <w:rPr>
          <w:rFonts w:ascii="Arial" w:hAnsi="Arial" w:cs="Arial"/>
          <w:sz w:val="24"/>
          <w:szCs w:val="24"/>
          <w:lang w:eastAsia="es-GT"/>
        </w:rPr>
        <w:t>s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en </w:t>
      </w:r>
      <w:r w:rsidR="0096556A">
        <w:rPr>
          <w:rFonts w:ascii="Arial" w:hAnsi="Arial" w:cs="Arial"/>
          <w:sz w:val="24"/>
          <w:szCs w:val="24"/>
          <w:lang w:eastAsia="es-GT"/>
        </w:rPr>
        <w:t>los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que participan las comunidades organizadas </w:t>
      </w:r>
      <w:r w:rsidR="0096556A">
        <w:rPr>
          <w:rFonts w:ascii="Arial" w:hAnsi="Arial" w:cs="Arial"/>
          <w:sz w:val="24"/>
          <w:szCs w:val="24"/>
          <w:lang w:eastAsia="es-GT"/>
        </w:rPr>
        <w:t>en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los Cocode, l</w:t>
      </w:r>
      <w:r w:rsidR="0096556A">
        <w:rPr>
          <w:rFonts w:ascii="Arial" w:hAnsi="Arial" w:cs="Arial"/>
          <w:sz w:val="24"/>
          <w:szCs w:val="24"/>
          <w:lang w:eastAsia="es-GT"/>
        </w:rPr>
        <w:t>a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s </w:t>
      </w:r>
      <w:r w:rsidR="0096556A" w:rsidRPr="00AA00D5">
        <w:rPr>
          <w:rFonts w:ascii="Arial" w:hAnsi="Arial" w:cs="Arial"/>
          <w:sz w:val="24"/>
          <w:szCs w:val="24"/>
          <w:lang w:eastAsia="es-GT"/>
        </w:rPr>
        <w:t>municipalidades</w:t>
      </w:r>
      <w:r w:rsidR="0096556A">
        <w:rPr>
          <w:rFonts w:ascii="Arial" w:hAnsi="Arial" w:cs="Arial"/>
          <w:sz w:val="24"/>
          <w:szCs w:val="24"/>
          <w:lang w:eastAsia="es-GT"/>
        </w:rPr>
        <w:t>,</w:t>
      </w:r>
      <w:r w:rsidR="0096556A" w:rsidRPr="00AA00D5">
        <w:rPr>
          <w:rFonts w:ascii="Arial" w:hAnsi="Arial" w:cs="Arial"/>
          <w:sz w:val="24"/>
          <w:szCs w:val="24"/>
          <w:lang w:eastAsia="es-GT"/>
        </w:rPr>
        <w:t xml:space="preserve"> </w:t>
      </w:r>
      <w:r w:rsidR="0096556A">
        <w:rPr>
          <w:rFonts w:ascii="Arial" w:hAnsi="Arial" w:cs="Arial"/>
          <w:sz w:val="24"/>
          <w:szCs w:val="24"/>
          <w:lang w:eastAsia="es-GT"/>
        </w:rPr>
        <w:t>los Codede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, el </w:t>
      </w:r>
      <w:r w:rsidR="0096556A">
        <w:rPr>
          <w:rFonts w:ascii="Arial" w:hAnsi="Arial" w:cs="Arial"/>
          <w:sz w:val="24"/>
          <w:szCs w:val="24"/>
          <w:lang w:eastAsia="es-GT"/>
        </w:rPr>
        <w:t>Consejo Nacional de Desarrollo Urbano y Rural (</w:t>
      </w:r>
      <w:r w:rsidRPr="00AA00D5">
        <w:rPr>
          <w:rFonts w:ascii="Arial" w:hAnsi="Arial" w:cs="Arial"/>
          <w:sz w:val="24"/>
          <w:szCs w:val="24"/>
          <w:lang w:eastAsia="es-GT"/>
        </w:rPr>
        <w:t>Conadur</w:t>
      </w:r>
      <w:r w:rsidR="0096556A">
        <w:rPr>
          <w:rFonts w:ascii="Arial" w:hAnsi="Arial" w:cs="Arial"/>
          <w:sz w:val="24"/>
          <w:szCs w:val="24"/>
          <w:lang w:eastAsia="es-GT"/>
        </w:rPr>
        <w:t>)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</w:t>
      </w:r>
      <w:r w:rsidR="0096556A">
        <w:rPr>
          <w:rFonts w:ascii="Arial" w:hAnsi="Arial" w:cs="Arial"/>
          <w:sz w:val="24"/>
          <w:szCs w:val="24"/>
          <w:lang w:eastAsia="es-GT"/>
        </w:rPr>
        <w:t>e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instituciones del </w:t>
      </w:r>
      <w:r w:rsidR="0096556A">
        <w:rPr>
          <w:rFonts w:ascii="Arial" w:hAnsi="Arial" w:cs="Arial"/>
          <w:sz w:val="24"/>
          <w:szCs w:val="24"/>
          <w:lang w:eastAsia="es-GT"/>
        </w:rPr>
        <w:t>g</w:t>
      </w:r>
      <w:r w:rsidRPr="00AA00D5">
        <w:rPr>
          <w:rFonts w:ascii="Arial" w:hAnsi="Arial" w:cs="Arial"/>
          <w:sz w:val="24"/>
          <w:szCs w:val="24"/>
          <w:lang w:eastAsia="es-GT"/>
        </w:rPr>
        <w:t>obierno central</w:t>
      </w:r>
      <w:r w:rsidR="0096556A">
        <w:rPr>
          <w:rFonts w:ascii="Arial" w:hAnsi="Arial" w:cs="Arial"/>
          <w:sz w:val="24"/>
          <w:szCs w:val="24"/>
          <w:lang w:eastAsia="es-GT"/>
        </w:rPr>
        <w:t xml:space="preserve"> como el Ministerio de Finanzas Públicas, la Secretará de Planificación y Programación de la Presidencia y la SCEP</w:t>
      </w:r>
      <w:r w:rsidRPr="00AA00D5">
        <w:rPr>
          <w:rFonts w:ascii="Arial" w:hAnsi="Arial" w:cs="Arial"/>
          <w:sz w:val="24"/>
          <w:szCs w:val="24"/>
          <w:lang w:eastAsia="es-GT"/>
        </w:rPr>
        <w:t>.</w:t>
      </w:r>
    </w:p>
    <w:p w:rsidR="0096556A" w:rsidRDefault="00B740C8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 xml:space="preserve">El presidente de la República, Bernardo Arévalo, destacó que </w:t>
      </w:r>
      <w:r w:rsidR="0096556A">
        <w:rPr>
          <w:rFonts w:ascii="Arial" w:hAnsi="Arial" w:cs="Arial"/>
          <w:sz w:val="24"/>
          <w:szCs w:val="24"/>
          <w:lang w:eastAsia="es-GT"/>
        </w:rPr>
        <w:t>su gobierno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está fortaleciendo los mecanismos para que la ciudadanía pueda fiscalizar directamente la inversión pública. </w:t>
      </w:r>
    </w:p>
    <w:p w:rsidR="00B740C8" w:rsidRPr="00AA00D5" w:rsidRDefault="00B740C8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>Explicó que herramientas como los códigos QR</w:t>
      </w:r>
      <w:r w:rsidR="0096556A">
        <w:rPr>
          <w:rFonts w:ascii="Arial" w:hAnsi="Arial" w:cs="Arial"/>
          <w:sz w:val="24"/>
          <w:szCs w:val="24"/>
          <w:lang w:eastAsia="es-GT"/>
        </w:rPr>
        <w:t>,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</w:t>
      </w:r>
      <w:r w:rsidRPr="0096556A">
        <w:rPr>
          <w:rFonts w:ascii="Arial" w:hAnsi="Arial" w:cs="Arial"/>
          <w:sz w:val="24"/>
          <w:szCs w:val="24"/>
          <w:lang w:eastAsia="es-GT"/>
        </w:rPr>
        <w:t xml:space="preserve">colocados </w:t>
      </w:r>
      <w:r w:rsidR="0096556A" w:rsidRPr="0096556A">
        <w:rPr>
          <w:rFonts w:ascii="Arial" w:hAnsi="Arial" w:cs="Arial"/>
          <w:sz w:val="24"/>
          <w:szCs w:val="24"/>
          <w:lang w:eastAsia="es-GT"/>
        </w:rPr>
        <w:t xml:space="preserve">en los rótulos que obligatoriamente deben identificar </w:t>
      </w:r>
      <w:r w:rsidRPr="0096556A">
        <w:rPr>
          <w:rFonts w:ascii="Arial" w:hAnsi="Arial" w:cs="Arial"/>
          <w:sz w:val="24"/>
          <w:szCs w:val="24"/>
          <w:lang w:eastAsia="es-GT"/>
        </w:rPr>
        <w:t>los proyectos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permit</w:t>
      </w:r>
      <w:r w:rsidR="0096556A">
        <w:rPr>
          <w:rFonts w:ascii="Arial" w:hAnsi="Arial" w:cs="Arial"/>
          <w:sz w:val="24"/>
          <w:szCs w:val="24"/>
          <w:lang w:eastAsia="es-GT"/>
        </w:rPr>
        <w:t>en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a las personas consultar información </w:t>
      </w:r>
      <w:r w:rsidR="0096556A">
        <w:rPr>
          <w:rFonts w:ascii="Arial" w:hAnsi="Arial" w:cs="Arial"/>
          <w:sz w:val="24"/>
          <w:szCs w:val="24"/>
          <w:lang w:eastAsia="es-GT"/>
        </w:rPr>
        <w:t xml:space="preserve">sobre cada obra 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y contrastar lo que ocurre en el territorio con lo que se reporta oficialmente, para identificar posibles diferencias y </w:t>
      </w:r>
      <w:r w:rsidR="0096556A">
        <w:rPr>
          <w:rFonts w:ascii="Arial" w:hAnsi="Arial" w:cs="Arial"/>
          <w:sz w:val="24"/>
          <w:szCs w:val="24"/>
          <w:lang w:eastAsia="es-GT"/>
        </w:rPr>
        <w:t>reportarlas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ante las instancias correspondientes.</w:t>
      </w:r>
    </w:p>
    <w:p w:rsidR="00B740C8" w:rsidRPr="00AA00D5" w:rsidRDefault="00B740C8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lastRenderedPageBreak/>
        <w:t>El mandatario resaltó además que no solo se están habilitando mecanismos de acceso a la información, sino que también se impulsan procesos de formación ciudadana para que personas de distintos territorios conozcan cómo consultar las bases de datos, verificar la información y canalizar denuncias ante posibles irregularidades.</w:t>
      </w:r>
    </w:p>
    <w:p w:rsidR="00573531" w:rsidRDefault="00B740C8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 xml:space="preserve">Como parte de esta </w:t>
      </w:r>
      <w:r w:rsidR="0096556A">
        <w:rPr>
          <w:rFonts w:ascii="Arial" w:hAnsi="Arial" w:cs="Arial"/>
          <w:sz w:val="24"/>
          <w:szCs w:val="24"/>
          <w:lang w:eastAsia="es-GT"/>
        </w:rPr>
        <w:t>campaña informativa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, la SCEP </w:t>
      </w:r>
      <w:r w:rsidR="00573531">
        <w:rPr>
          <w:rFonts w:ascii="Arial" w:hAnsi="Arial" w:cs="Arial"/>
          <w:sz w:val="24"/>
          <w:szCs w:val="24"/>
          <w:lang w:eastAsia="es-GT"/>
        </w:rPr>
        <w:t>recordó la existencia d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el Portal Auditoría Siscode </w:t>
      </w:r>
      <w:hyperlink r:id="rId4" w:history="1">
        <w:r w:rsidRPr="00AA00D5">
          <w:rPr>
            <w:rStyle w:val="Hipervnculo"/>
            <w:rFonts w:ascii="Arial" w:hAnsi="Arial" w:cs="Arial"/>
            <w:sz w:val="24"/>
            <w:szCs w:val="24"/>
            <w:lang w:eastAsia="es-GT"/>
          </w:rPr>
          <w:t>https://auditoria.siscode.gob.gt/</w:t>
        </w:r>
      </w:hyperlink>
      <w:r w:rsidRPr="00AA00D5">
        <w:rPr>
          <w:rFonts w:ascii="Arial" w:hAnsi="Arial" w:cs="Arial"/>
          <w:sz w:val="24"/>
          <w:szCs w:val="24"/>
          <w:lang w:eastAsia="es-GT"/>
        </w:rPr>
        <w:t xml:space="preserve">, una herramienta que permite consultar desde un teléfono celular información sobre el avance físico y financiero de las obras. </w:t>
      </w:r>
    </w:p>
    <w:p w:rsidR="00573531" w:rsidRPr="00AA00D5" w:rsidRDefault="00573531" w:rsidP="00573531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>La plataforma contempla</w:t>
      </w:r>
      <w:r>
        <w:rPr>
          <w:rFonts w:ascii="Arial" w:hAnsi="Arial" w:cs="Arial"/>
          <w:sz w:val="24"/>
          <w:szCs w:val="24"/>
          <w:lang w:eastAsia="es-GT"/>
        </w:rPr>
        <w:t>,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además</w:t>
      </w:r>
      <w:r>
        <w:rPr>
          <w:rFonts w:ascii="Arial" w:hAnsi="Arial" w:cs="Arial"/>
          <w:sz w:val="24"/>
          <w:szCs w:val="24"/>
          <w:lang w:eastAsia="es-GT"/>
        </w:rPr>
        <w:t>,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 el acceso a información relacionada con contratos, empresas, tiempos y presupuestos, con el propósito de facilitar una fiscalización informada de la inversión pública.</w:t>
      </w:r>
    </w:p>
    <w:p w:rsidR="00B740C8" w:rsidRPr="00AA00D5" w:rsidRDefault="00B740C8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 xml:space="preserve">También está disponible el </w:t>
      </w:r>
      <w:r w:rsidR="00573531">
        <w:rPr>
          <w:rFonts w:ascii="Arial" w:hAnsi="Arial" w:cs="Arial"/>
          <w:sz w:val="24"/>
          <w:szCs w:val="24"/>
          <w:lang w:eastAsia="es-GT"/>
        </w:rPr>
        <w:t>número telefónico</w:t>
      </w:r>
      <w:r w:rsidRPr="00AA00D5">
        <w:rPr>
          <w:rFonts w:ascii="Arial" w:hAnsi="Arial" w:cs="Arial"/>
          <w:sz w:val="24"/>
          <w:szCs w:val="24"/>
          <w:lang w:eastAsia="es-GT"/>
        </w:rPr>
        <w:t xml:space="preserve">1504, canal de atención </w:t>
      </w:r>
      <w:r w:rsidR="00573531">
        <w:rPr>
          <w:rFonts w:ascii="Arial" w:hAnsi="Arial" w:cs="Arial"/>
          <w:sz w:val="24"/>
          <w:szCs w:val="24"/>
          <w:lang w:eastAsia="es-GT"/>
        </w:rPr>
        <w:t xml:space="preserve">al público </w:t>
      </w:r>
      <w:r w:rsidRPr="00AA00D5">
        <w:rPr>
          <w:rFonts w:ascii="Arial" w:hAnsi="Arial" w:cs="Arial"/>
          <w:sz w:val="24"/>
          <w:szCs w:val="24"/>
          <w:lang w:eastAsia="es-GT"/>
        </w:rPr>
        <w:t>para realizar consultas y reportar posibles irregularidades en la ejecución de proyectos.</w:t>
      </w:r>
    </w:p>
    <w:p w:rsidR="00B740C8" w:rsidRPr="00AA00D5" w:rsidRDefault="00573531" w:rsidP="00AA00D5">
      <w:pPr>
        <w:spacing w:line="276" w:lineRule="auto"/>
        <w:jc w:val="both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 xml:space="preserve"> </w:t>
      </w:r>
      <w:r>
        <w:rPr>
          <w:rFonts w:ascii="Arial" w:hAnsi="Arial" w:cs="Arial"/>
          <w:sz w:val="24"/>
          <w:szCs w:val="24"/>
          <w:lang w:eastAsia="es-GT"/>
        </w:rPr>
        <w:t>«</w:t>
      </w:r>
      <w:r w:rsidR="00B740C8" w:rsidRPr="00AA00D5">
        <w:rPr>
          <w:rFonts w:ascii="Arial" w:hAnsi="Arial" w:cs="Arial"/>
          <w:sz w:val="24"/>
          <w:szCs w:val="24"/>
          <w:lang w:eastAsia="es-GT"/>
        </w:rPr>
        <w:t>No venimos a hablarles únicamente de obras de infraestructura o de cifras presupuestarias. Hoy venimos a hablar de un cambio profundo en la forma en que el Gobierno de la República gestiona los recursos de las y los guatemaltecos</w:t>
      </w:r>
      <w:r>
        <w:rPr>
          <w:rFonts w:ascii="Arial" w:hAnsi="Arial" w:cs="Arial"/>
          <w:sz w:val="24"/>
          <w:szCs w:val="24"/>
          <w:lang w:eastAsia="es-GT"/>
        </w:rPr>
        <w:t>»</w:t>
      </w:r>
      <w:r w:rsidR="00B740C8" w:rsidRPr="00AA00D5">
        <w:rPr>
          <w:rFonts w:ascii="Arial" w:hAnsi="Arial" w:cs="Arial"/>
          <w:sz w:val="24"/>
          <w:szCs w:val="24"/>
          <w:lang w:eastAsia="es-GT"/>
        </w:rPr>
        <w:t xml:space="preserve">, </w:t>
      </w:r>
      <w:r>
        <w:rPr>
          <w:rFonts w:ascii="Arial" w:hAnsi="Arial" w:cs="Arial"/>
          <w:sz w:val="24"/>
          <w:szCs w:val="24"/>
          <w:lang w:eastAsia="es-GT"/>
        </w:rPr>
        <w:t xml:space="preserve">finalizó </w:t>
      </w:r>
      <w:r w:rsidR="00B740C8" w:rsidRPr="00AA00D5">
        <w:rPr>
          <w:rFonts w:ascii="Arial" w:hAnsi="Arial" w:cs="Arial"/>
          <w:sz w:val="24"/>
          <w:szCs w:val="24"/>
          <w:lang w:eastAsia="es-GT"/>
        </w:rPr>
        <w:t>el titular de la SCEP.</w:t>
      </w:r>
    </w:p>
    <w:p w:rsidR="00B740C8" w:rsidRPr="00AA00D5" w:rsidRDefault="00B740C8" w:rsidP="00AA00D5">
      <w:pPr>
        <w:spacing w:line="276" w:lineRule="auto"/>
        <w:jc w:val="center"/>
        <w:rPr>
          <w:rFonts w:ascii="Arial" w:hAnsi="Arial" w:cs="Arial"/>
          <w:sz w:val="24"/>
          <w:szCs w:val="24"/>
          <w:lang w:eastAsia="es-GT"/>
        </w:rPr>
      </w:pPr>
      <w:r w:rsidRPr="00AA00D5">
        <w:rPr>
          <w:rFonts w:ascii="Arial" w:hAnsi="Arial" w:cs="Arial"/>
          <w:sz w:val="24"/>
          <w:szCs w:val="24"/>
          <w:lang w:eastAsia="es-GT"/>
        </w:rPr>
        <w:t>¡</w:t>
      </w:r>
      <w:r w:rsidRPr="00AA00D5">
        <w:rPr>
          <w:rFonts w:ascii="Arial" w:hAnsi="Arial" w:cs="Arial"/>
          <w:b/>
          <w:sz w:val="24"/>
          <w:szCs w:val="24"/>
          <w:lang w:eastAsia="es-GT"/>
        </w:rPr>
        <w:t>Transfiriendo poder a la gente!</w:t>
      </w:r>
    </w:p>
    <w:bookmarkEnd w:id="0"/>
    <w:p w:rsidR="00DC3A30" w:rsidRPr="00AA00D5" w:rsidRDefault="00DC3A30" w:rsidP="00AA00D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DC3A30" w:rsidRPr="00AA00D5" w:rsidSect="00F30603"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C8"/>
    <w:rsid w:val="00573531"/>
    <w:rsid w:val="0096556A"/>
    <w:rsid w:val="00AA00D5"/>
    <w:rsid w:val="00B32073"/>
    <w:rsid w:val="00B740C8"/>
    <w:rsid w:val="00DC3A30"/>
    <w:rsid w:val="00DD557B"/>
    <w:rsid w:val="00F24F83"/>
    <w:rsid w:val="00F3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D53E94-09D7-4E86-831C-7D56593B5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40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40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B740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ditoria.siscode.gob.gt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Teresa Morales Molina</dc:creator>
  <cp:keywords/>
  <dc:description/>
  <cp:lastModifiedBy>Victor Amézquita</cp:lastModifiedBy>
  <cp:revision>2</cp:revision>
  <dcterms:created xsi:type="dcterms:W3CDTF">2026-09-07T22:35:00Z</dcterms:created>
  <dcterms:modified xsi:type="dcterms:W3CDTF">2026-09-07T22:35:00Z</dcterms:modified>
</cp:coreProperties>
</file>